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lang w:val="es-CO"/>
        </w:rPr>
      </w:pPr>
      <w:r>
        <w:rPr>
          <w:b/>
          <w:bCs/>
          <w:lang w:val="es-CO"/>
        </w:rPr>
        <w:t>PARTE RESOLUTIVA DE LA RESOLUCIÓN N° 2184 DE OCTUBRE 29 DE 2019, PROFERIDA POR EL SEÑOR ALCALDE MUNICIPAL, POR MEDIO DE LA CUAL SE DECLARÓ EN ESTADO DE RUINA   UN INMUEBLE Y SE IMPUSO UNA MEDIDA CORRECTIVA DE DEMOLICIÓN. (CALLE 44 CON CARRERA 21, PREDIO INTERIOR, BARRIO SANTA HELENA)</w:t>
      </w:r>
    </w:p>
    <w:p>
      <w:pPr>
        <w:jc w:val="both"/>
        <w:rPr>
          <w:b/>
          <w:bCs/>
          <w:lang w:val="es-CO"/>
        </w:rPr>
      </w:pP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p>
    <w:p>
      <w:pPr>
        <w:keepNext w:val="0"/>
        <w:keepLines w:val="0"/>
        <w:widowControl/>
        <w:suppressLineNumbers w:val="0"/>
        <w:suppressAutoHyphens/>
        <w:spacing w:before="0" w:beforeAutospacing="0" w:after="0" w:afterAutospacing="0"/>
        <w:ind w:left="0" w:right="0"/>
        <w:jc w:val="center"/>
        <w:rPr>
          <w:rFonts w:hint="default" w:ascii="Arial Narrow" w:hAnsi="Arial Narrow" w:eastAsia="Calibri" w:cs="Tahoma"/>
          <w:b/>
          <w:shadow/>
          <w:sz w:val="20"/>
          <w:szCs w:val="20"/>
          <w:lang w:eastAsia="ar"/>
        </w:rPr>
      </w:pPr>
      <w:r>
        <w:rPr>
          <w:rFonts w:hint="default" w:ascii="Arial Narrow" w:hAnsi="Arial Narrow" w:eastAsia="Calibri" w:cs="Tahoma"/>
          <w:b/>
          <w:shadow/>
          <w:kern w:val="0"/>
          <w:sz w:val="20"/>
          <w:szCs w:val="20"/>
          <w:lang w:eastAsia="ar" w:bidi="ar"/>
        </w:rPr>
        <w:t>RESUELVE:</w:t>
      </w:r>
    </w:p>
    <w:p>
      <w:pPr>
        <w:keepNext w:val="0"/>
        <w:keepLines w:val="0"/>
        <w:widowControl/>
        <w:suppressLineNumbers w:val="0"/>
        <w:suppressAutoHyphens/>
        <w:spacing w:before="0" w:beforeAutospacing="0" w:after="0" w:afterAutospacing="0"/>
        <w:ind w:left="0" w:right="0"/>
        <w:jc w:val="center"/>
        <w:rPr>
          <w:rFonts w:hint="default" w:ascii="Arial Narrow" w:hAnsi="Arial Narrow" w:eastAsia="Calibri" w:cs="Tahoma"/>
          <w:bCs/>
          <w:shadow/>
          <w:sz w:val="20"/>
          <w:szCs w:val="20"/>
          <w:lang w:eastAsia="ar"/>
        </w:rPr>
      </w:pP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r>
        <w:rPr>
          <w:rFonts w:hint="default" w:ascii="Arial Narrow" w:hAnsi="Arial Narrow" w:eastAsia="Calibri" w:cs="Tahoma"/>
          <w:b/>
          <w:shadow/>
          <w:kern w:val="0"/>
          <w:sz w:val="20"/>
          <w:szCs w:val="20"/>
          <w:lang w:eastAsia="ar" w:bidi="ar"/>
        </w:rPr>
        <w:t>Artículo 1°:</w:t>
      </w:r>
      <w:r>
        <w:rPr>
          <w:rFonts w:hint="default" w:ascii="Arial Narrow" w:hAnsi="Arial Narrow" w:eastAsia="Calibri" w:cs="Tahoma"/>
          <w:bCs/>
          <w:shadow/>
          <w:kern w:val="0"/>
          <w:sz w:val="20"/>
          <w:szCs w:val="20"/>
          <w:lang w:eastAsia="ar" w:bidi="ar"/>
        </w:rPr>
        <w:t xml:space="preserve"> </w:t>
      </w:r>
      <w:r>
        <w:rPr>
          <w:rFonts w:hint="default" w:ascii="Arial Narrow" w:hAnsi="Arial Narrow" w:eastAsia="Calibri" w:cs="Tahoma"/>
          <w:b/>
          <w:bCs/>
          <w:shadow/>
          <w:kern w:val="0"/>
          <w:sz w:val="20"/>
          <w:szCs w:val="20"/>
          <w:lang w:eastAsia="ar" w:bidi="ar"/>
        </w:rPr>
        <w:t xml:space="preserve">DECLARAR </w:t>
      </w:r>
      <w:r>
        <w:rPr>
          <w:rFonts w:hint="default" w:ascii="Arial Narrow" w:hAnsi="Arial Narrow" w:eastAsia="Calibri" w:cs="Tahoma"/>
          <w:shadow/>
          <w:kern w:val="0"/>
          <w:sz w:val="20"/>
          <w:szCs w:val="20"/>
          <w:lang w:eastAsia="ar" w:bidi="ar"/>
        </w:rPr>
        <w:t>en estado de ruina e inminente peligro el  inmueble, identificado con la ficha catastral Nº</w:t>
      </w:r>
      <w:r>
        <w:rPr>
          <w:rFonts w:hint="default" w:ascii="Arial Narrow" w:hAnsi="Arial Narrow" w:eastAsia="Calibri" w:cs="Tahoma"/>
          <w:bCs/>
          <w:shadow/>
          <w:kern w:val="0"/>
          <w:sz w:val="20"/>
          <w:szCs w:val="20"/>
          <w:lang w:eastAsia="ar" w:bidi="ar"/>
        </w:rPr>
        <w:t xml:space="preserve">, </w:t>
      </w:r>
      <w:r>
        <w:rPr>
          <w:rFonts w:hint="default" w:ascii="Arial Narrow" w:hAnsi="Arial Narrow" w:eastAsia="Calibri" w:cs="Tahoma"/>
          <w:b/>
          <w:bCs/>
          <w:shadow/>
          <w:kern w:val="0"/>
          <w:sz w:val="20"/>
          <w:szCs w:val="20"/>
          <w:lang w:eastAsia="ar" w:bidi="ar"/>
        </w:rPr>
        <w:t>10501320016000</w:t>
      </w:r>
      <w:r>
        <w:rPr>
          <w:rFonts w:hint="default" w:ascii="Arial Narrow" w:hAnsi="Arial Narrow" w:eastAsia="Calibri" w:cs="Tahoma"/>
          <w:shadow/>
          <w:kern w:val="0"/>
          <w:sz w:val="20"/>
          <w:szCs w:val="20"/>
          <w:lang w:eastAsia="ar" w:bidi="ar"/>
        </w:rPr>
        <w:t xml:space="preserve">, y con folio de matrícula inmobiliaria Nº </w:t>
      </w:r>
      <w:r>
        <w:rPr>
          <w:rFonts w:hint="default" w:ascii="Arial Narrow" w:hAnsi="Arial Narrow" w:eastAsia="Calibri" w:cs="Tahoma"/>
          <w:b/>
          <w:shadow/>
          <w:kern w:val="0"/>
          <w:sz w:val="20"/>
          <w:szCs w:val="20"/>
          <w:lang w:eastAsia="ar" w:bidi="ar"/>
        </w:rPr>
        <w:t>100–124753</w:t>
      </w:r>
      <w:r>
        <w:rPr>
          <w:rFonts w:hint="default" w:ascii="Arial Narrow" w:hAnsi="Arial Narrow" w:eastAsia="Calibri" w:cs="Tahoma"/>
          <w:shadow/>
          <w:kern w:val="0"/>
          <w:sz w:val="20"/>
          <w:szCs w:val="20"/>
          <w:lang w:eastAsia="ar" w:bidi="ar"/>
        </w:rPr>
        <w:t xml:space="preserve">, de propiedad de la señora </w:t>
      </w:r>
      <w:r>
        <w:rPr>
          <w:rFonts w:hint="default" w:ascii="Arial Narrow" w:hAnsi="Arial Narrow" w:eastAsia="Calibri" w:cs="Tahoma"/>
          <w:b/>
          <w:bCs w:val="0"/>
          <w:shadow/>
          <w:kern w:val="0"/>
          <w:sz w:val="20"/>
          <w:szCs w:val="20"/>
          <w:lang w:eastAsia="ar" w:bidi="ar"/>
        </w:rPr>
        <w:t>FRANCISCA JARAMILLO PEREZ</w:t>
      </w:r>
      <w:r>
        <w:rPr>
          <w:rFonts w:hint="default" w:ascii="Arial Narrow" w:hAnsi="Arial Narrow" w:eastAsia="Calibri" w:cs="Tahoma"/>
          <w:bCs/>
          <w:shadow/>
          <w:kern w:val="0"/>
          <w:sz w:val="20"/>
          <w:szCs w:val="20"/>
          <w:lang w:eastAsia="ar" w:bidi="ar"/>
        </w:rPr>
        <w:t xml:space="preserve">, ubicado en la </w:t>
      </w:r>
      <w:r>
        <w:rPr>
          <w:rFonts w:hint="default" w:ascii="Arial Narrow" w:hAnsi="Arial Narrow" w:eastAsia="Calibri" w:cs="Tahoma"/>
          <w:b/>
          <w:bCs w:val="0"/>
          <w:shadow/>
          <w:kern w:val="0"/>
          <w:sz w:val="20"/>
          <w:szCs w:val="20"/>
          <w:lang w:eastAsia="ar" w:bidi="ar"/>
        </w:rPr>
        <w:t>CALLE 19 N° 29 – 19, Barrio 20 de Julio</w:t>
      </w:r>
      <w:r>
        <w:rPr>
          <w:rFonts w:hint="default" w:ascii="Arial Narrow" w:hAnsi="Arial Narrow" w:eastAsia="Calibri" w:cs="Tahoma"/>
          <w:shadow/>
          <w:kern w:val="0"/>
          <w:sz w:val="20"/>
          <w:szCs w:val="20"/>
          <w:lang w:eastAsia="ar" w:bidi="ar"/>
        </w:rPr>
        <w:t>.</w:t>
      </w:r>
      <w:r>
        <w:rPr>
          <w:rFonts w:hint="default" w:ascii="Arial Narrow" w:hAnsi="Arial Narrow" w:eastAsia="Calibri" w:cs="Tahoma"/>
          <w:b/>
          <w:bCs w:val="0"/>
          <w:shadow/>
          <w:kern w:val="0"/>
          <w:sz w:val="20"/>
          <w:szCs w:val="20"/>
          <w:lang w:eastAsia="ar" w:bidi="ar"/>
        </w:rPr>
        <w:t>,</w:t>
      </w:r>
      <w:r>
        <w:rPr>
          <w:rFonts w:hint="default" w:ascii="Arial Narrow" w:hAnsi="Arial Narrow" w:eastAsia="Calibri" w:cs="Tahoma"/>
          <w:bCs/>
          <w:shadow/>
          <w:kern w:val="0"/>
          <w:sz w:val="20"/>
          <w:szCs w:val="20"/>
          <w:lang w:eastAsia="ar" w:bidi="ar"/>
        </w:rPr>
        <w:t xml:space="preserve"> </w:t>
      </w:r>
      <w:r>
        <w:rPr>
          <w:rFonts w:hint="default" w:ascii="Arial Narrow" w:hAnsi="Arial Narrow" w:eastAsia="Calibri" w:cs="Tahoma"/>
          <w:shadow/>
          <w:kern w:val="0"/>
          <w:sz w:val="20"/>
          <w:szCs w:val="20"/>
          <w:lang w:eastAsia="ar" w:bidi="ar"/>
        </w:rPr>
        <w:t xml:space="preserve">  en jurisdicción del Municipio de Manizales. </w:t>
      </w: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bCs/>
          <w:shadow/>
          <w:sz w:val="20"/>
          <w:szCs w:val="20"/>
          <w:lang w:eastAsia="ar"/>
        </w:rPr>
      </w:pPr>
      <w:r>
        <w:rPr>
          <w:rFonts w:hint="default" w:ascii="Arial Narrow" w:hAnsi="Arial Narrow" w:eastAsia="Calibri" w:cs="Tahoma"/>
          <w:b/>
          <w:shadow/>
          <w:kern w:val="0"/>
          <w:sz w:val="20"/>
          <w:szCs w:val="20"/>
          <w:lang w:eastAsia="ar" w:bidi="ar"/>
        </w:rPr>
        <w:t>Artículo 2°:</w:t>
      </w:r>
      <w:r>
        <w:rPr>
          <w:rFonts w:hint="default" w:ascii="Arial Narrow" w:hAnsi="Arial Narrow" w:eastAsia="Calibri" w:cs="Tahoma"/>
          <w:bCs/>
          <w:shadow/>
          <w:kern w:val="0"/>
          <w:sz w:val="20"/>
          <w:szCs w:val="20"/>
          <w:lang w:eastAsia="ar" w:bidi="ar"/>
        </w:rPr>
        <w:t xml:space="preserve"> </w:t>
      </w:r>
      <w:r>
        <w:rPr>
          <w:rFonts w:hint="default" w:ascii="Arial Narrow" w:hAnsi="Arial Narrow" w:eastAsia="Calibri" w:cs="Tahoma"/>
          <w:b/>
          <w:bCs/>
          <w:shadow/>
          <w:kern w:val="0"/>
          <w:sz w:val="20"/>
          <w:szCs w:val="20"/>
          <w:lang w:eastAsia="ar" w:bidi="ar"/>
        </w:rPr>
        <w:t xml:space="preserve">ORDENAR </w:t>
      </w:r>
      <w:r>
        <w:rPr>
          <w:rFonts w:hint="default" w:ascii="Arial Narrow" w:hAnsi="Arial Narrow" w:eastAsia="Calibri" w:cs="Tahoma"/>
          <w:bCs/>
          <w:shadow/>
          <w:kern w:val="0"/>
          <w:sz w:val="20"/>
          <w:szCs w:val="20"/>
          <w:lang w:eastAsia="ar" w:bidi="ar"/>
        </w:rPr>
        <w:t>el desalojo inmediato de las personas que se encuentren ocupando el bien inmueble de que trata el artículo 1°.</w:t>
      </w: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r>
        <w:rPr>
          <w:rFonts w:hint="default" w:ascii="Arial Narrow" w:hAnsi="Arial Narrow" w:eastAsia="Calibri" w:cs="Tahoma"/>
          <w:b/>
          <w:shadow/>
          <w:kern w:val="0"/>
          <w:sz w:val="20"/>
          <w:szCs w:val="20"/>
          <w:lang w:eastAsia="ar" w:bidi="ar"/>
        </w:rPr>
        <w:t>Artículo 3°:</w:t>
      </w:r>
      <w:r>
        <w:rPr>
          <w:rFonts w:hint="default" w:ascii="Arial Narrow" w:hAnsi="Arial Narrow" w:eastAsia="Calibri" w:cs="Tahoma"/>
          <w:bCs/>
          <w:shadow/>
          <w:kern w:val="0"/>
          <w:sz w:val="20"/>
          <w:szCs w:val="20"/>
          <w:lang w:eastAsia="ar" w:bidi="ar"/>
        </w:rPr>
        <w:t xml:space="preserve"> </w:t>
      </w:r>
      <w:r>
        <w:rPr>
          <w:rFonts w:hint="default" w:ascii="Arial Narrow" w:hAnsi="Arial Narrow" w:eastAsia="Calibri" w:cs="Tahoma"/>
          <w:b/>
          <w:bCs/>
          <w:shadow/>
          <w:kern w:val="0"/>
          <w:sz w:val="20"/>
          <w:szCs w:val="20"/>
          <w:lang w:eastAsia="ar" w:bidi="ar"/>
        </w:rPr>
        <w:t xml:space="preserve">ORDENAR </w:t>
      </w:r>
      <w:r>
        <w:rPr>
          <w:rFonts w:hint="default" w:ascii="Arial Narrow" w:hAnsi="Arial Narrow" w:eastAsia="Calibri" w:cs="Tahoma"/>
          <w:bCs/>
          <w:shadow/>
          <w:kern w:val="0"/>
          <w:sz w:val="20"/>
          <w:szCs w:val="20"/>
          <w:lang w:eastAsia="ar" w:bidi="ar"/>
        </w:rPr>
        <w:t xml:space="preserve">la demolición y el retiro de los escombros  </w:t>
      </w:r>
      <w:r>
        <w:rPr>
          <w:rFonts w:hint="default" w:ascii="Arial Narrow" w:hAnsi="Arial Narrow" w:eastAsia="Calibri" w:cs="Tahoma"/>
          <w:b/>
          <w:bCs/>
          <w:shadow/>
          <w:kern w:val="0"/>
          <w:sz w:val="20"/>
          <w:szCs w:val="20"/>
          <w:lang w:eastAsia="ar" w:bidi="ar"/>
        </w:rPr>
        <w:t xml:space="preserve"> </w:t>
      </w:r>
      <w:r>
        <w:rPr>
          <w:rFonts w:hint="default" w:ascii="Arial Narrow" w:hAnsi="Arial Narrow" w:eastAsia="Calibri" w:cs="Tahoma"/>
          <w:bCs/>
          <w:shadow/>
          <w:kern w:val="0"/>
          <w:sz w:val="20"/>
          <w:szCs w:val="20"/>
          <w:lang w:eastAsia="ar" w:bidi="ar"/>
        </w:rPr>
        <w:t>de</w:t>
      </w:r>
      <w:r>
        <w:rPr>
          <w:rFonts w:hint="default" w:ascii="Arial Narrow" w:hAnsi="Arial Narrow" w:eastAsia="Calibri" w:cs="Tahoma"/>
          <w:shadow/>
          <w:kern w:val="0"/>
          <w:sz w:val="20"/>
          <w:szCs w:val="20"/>
          <w:lang w:eastAsia="ar" w:bidi="ar"/>
        </w:rPr>
        <w:t xml:space="preserve">l bien inmueble, identificado con la ficha catastral Nº </w:t>
      </w:r>
      <w:r>
        <w:rPr>
          <w:rFonts w:hint="default" w:ascii="Arial Narrow" w:hAnsi="Arial Narrow" w:eastAsia="Calibri" w:cs="Tahoma"/>
          <w:b/>
          <w:shadow/>
          <w:kern w:val="0"/>
          <w:sz w:val="20"/>
          <w:szCs w:val="20"/>
          <w:lang w:eastAsia="ar" w:bidi="ar"/>
        </w:rPr>
        <w:t>10501320016000</w:t>
      </w:r>
      <w:r>
        <w:rPr>
          <w:rFonts w:hint="default" w:ascii="Arial Narrow" w:hAnsi="Arial Narrow" w:eastAsia="Calibri" w:cs="Tahoma"/>
          <w:shadow/>
          <w:kern w:val="0"/>
          <w:sz w:val="20"/>
          <w:szCs w:val="20"/>
          <w:lang w:eastAsia="ar" w:bidi="ar"/>
        </w:rPr>
        <w:t xml:space="preserve">, y con folio de matrícula inmobiliaria Nº </w:t>
      </w:r>
      <w:r>
        <w:rPr>
          <w:rFonts w:hint="default" w:ascii="Arial Narrow" w:hAnsi="Arial Narrow" w:eastAsia="Calibri" w:cs="Tahoma"/>
          <w:b/>
          <w:shadow/>
          <w:kern w:val="0"/>
          <w:sz w:val="20"/>
          <w:szCs w:val="20"/>
          <w:lang w:eastAsia="ar" w:bidi="ar"/>
        </w:rPr>
        <w:t>100–124753</w:t>
      </w:r>
      <w:r>
        <w:rPr>
          <w:rFonts w:hint="default" w:ascii="Arial Narrow" w:hAnsi="Arial Narrow" w:eastAsia="Calibri" w:cs="Tahoma"/>
          <w:shadow/>
          <w:kern w:val="0"/>
          <w:sz w:val="20"/>
          <w:szCs w:val="20"/>
          <w:lang w:eastAsia="ar" w:bidi="ar"/>
        </w:rPr>
        <w:t xml:space="preserve">, de propiedad de la señora </w:t>
      </w:r>
      <w:r>
        <w:rPr>
          <w:rFonts w:hint="default" w:ascii="Arial Narrow" w:hAnsi="Arial Narrow" w:eastAsia="Calibri" w:cs="Tahoma"/>
          <w:b/>
          <w:bCs w:val="0"/>
          <w:shadow/>
          <w:kern w:val="0"/>
          <w:sz w:val="20"/>
          <w:szCs w:val="20"/>
          <w:lang w:eastAsia="ar" w:bidi="ar"/>
        </w:rPr>
        <w:t>FRANCISCA JARAMILLO PEREZ</w:t>
      </w:r>
      <w:r>
        <w:rPr>
          <w:rFonts w:hint="default" w:ascii="Arial Narrow" w:hAnsi="Arial Narrow" w:eastAsia="Calibri" w:cs="Tahoma"/>
          <w:bCs/>
          <w:shadow/>
          <w:kern w:val="0"/>
          <w:sz w:val="20"/>
          <w:szCs w:val="20"/>
          <w:lang w:eastAsia="ar" w:bidi="ar"/>
        </w:rPr>
        <w:t xml:space="preserve">, ubicado en la </w:t>
      </w:r>
      <w:r>
        <w:rPr>
          <w:rFonts w:hint="default" w:ascii="Arial Narrow" w:hAnsi="Arial Narrow" w:eastAsia="Calibri" w:cs="Tahoma"/>
          <w:b/>
          <w:bCs w:val="0"/>
          <w:shadow/>
          <w:kern w:val="0"/>
          <w:sz w:val="20"/>
          <w:szCs w:val="20"/>
          <w:lang w:eastAsia="ar" w:bidi="ar"/>
        </w:rPr>
        <w:t>CALLE 19 N° 29 – 19, Barrio 20 de Julio</w:t>
      </w:r>
      <w:r>
        <w:rPr>
          <w:rFonts w:hint="default" w:ascii="Arial Narrow" w:hAnsi="Arial Narrow" w:eastAsia="Calibri" w:cs="Tahoma"/>
          <w:shadow/>
          <w:kern w:val="0"/>
          <w:sz w:val="20"/>
          <w:szCs w:val="20"/>
          <w:lang w:eastAsia="ar" w:bidi="ar"/>
        </w:rPr>
        <w:t xml:space="preserve"> ,en jurisdicción del Municipio de Manizales</w:t>
      </w:r>
      <w:r>
        <w:rPr>
          <w:rFonts w:hint="default" w:ascii="Arial Narrow" w:hAnsi="Arial Narrow" w:eastAsia="Calibri" w:cs="Tahoma"/>
          <w:bCs/>
          <w:shadow/>
          <w:kern w:val="0"/>
          <w:sz w:val="20"/>
          <w:szCs w:val="20"/>
          <w:lang w:eastAsia="ar" w:bidi="ar"/>
        </w:rPr>
        <w:t>,</w:t>
      </w:r>
      <w:r>
        <w:rPr>
          <w:rFonts w:hint="default" w:ascii="Arial Narrow" w:hAnsi="Arial Narrow" w:eastAsia="Calibri" w:cs="Arial Narrow"/>
          <w:shadow/>
          <w:kern w:val="0"/>
          <w:sz w:val="20"/>
          <w:szCs w:val="20"/>
          <w:lang w:eastAsia="en-US" w:bidi="ar"/>
        </w:rPr>
        <w:t xml:space="preserve"> </w:t>
      </w:r>
      <w:r>
        <w:rPr>
          <w:rFonts w:hint="default" w:ascii="Arial Narrow" w:hAnsi="Arial Narrow" w:eastAsia="Calibri" w:cs="Tahoma"/>
          <w:shadow/>
          <w:kern w:val="0"/>
          <w:sz w:val="20"/>
          <w:szCs w:val="20"/>
          <w:lang w:eastAsia="ar" w:bidi="ar"/>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p>
    <w:p>
      <w:pPr>
        <w:keepNext w:val="0"/>
        <w:keepLines w:val="0"/>
        <w:widowControl/>
        <w:suppressLineNumbers w:val="0"/>
        <w:suppressAutoHyphens/>
        <w:spacing w:before="0" w:beforeAutospacing="0" w:after="0" w:afterAutospacing="0"/>
        <w:ind w:left="40" w:right="0"/>
        <w:jc w:val="both"/>
        <w:rPr>
          <w:rFonts w:hint="default" w:ascii="Arial Narrow" w:hAnsi="Arial Narrow" w:eastAsia="Calibri" w:cs="Tahoma"/>
          <w:b/>
          <w:bCs w:val="0"/>
          <w:shadow/>
          <w:sz w:val="20"/>
          <w:szCs w:val="20"/>
          <w:lang w:eastAsia="ar"/>
        </w:rPr>
      </w:pPr>
      <w:r>
        <w:rPr>
          <w:rFonts w:hint="default" w:ascii="Arial Narrow" w:hAnsi="Arial Narrow" w:eastAsia="Calibri" w:cs="Tahoma"/>
          <w:b/>
          <w:shadow/>
          <w:kern w:val="0"/>
          <w:sz w:val="20"/>
          <w:szCs w:val="20"/>
          <w:lang w:eastAsia="ar" w:bidi="ar"/>
        </w:rPr>
        <w:t>Artículo 4°:</w:t>
      </w:r>
      <w:r>
        <w:rPr>
          <w:rFonts w:hint="default" w:ascii="Arial Narrow" w:hAnsi="Arial Narrow" w:eastAsia="Calibri" w:cs="Tahoma"/>
          <w:bCs/>
          <w:shadow/>
          <w:kern w:val="0"/>
          <w:sz w:val="20"/>
          <w:szCs w:val="20"/>
          <w:lang w:eastAsia="ar" w:bidi="ar"/>
        </w:rPr>
        <w:t xml:space="preserve"> </w:t>
      </w:r>
      <w:r>
        <w:rPr>
          <w:rFonts w:hint="default" w:ascii="Arial Narrow" w:hAnsi="Arial Narrow" w:eastAsia="Arial Narrow" w:cs="Tahoma"/>
          <w:b/>
          <w:shadow/>
          <w:kern w:val="0"/>
          <w:sz w:val="20"/>
          <w:szCs w:val="20"/>
          <w:lang w:eastAsia="zh-CN" w:bidi="ar"/>
        </w:rPr>
        <w:t xml:space="preserve">ORDENAR </w:t>
      </w:r>
      <w:r>
        <w:rPr>
          <w:rFonts w:hint="default" w:ascii="Arial Narrow" w:hAnsi="Arial Narrow" w:eastAsia="Arial Narrow" w:cs="Tahoma"/>
          <w:bCs/>
          <w:shadow/>
          <w:kern w:val="0"/>
          <w:sz w:val="20"/>
          <w:szCs w:val="20"/>
          <w:lang w:eastAsia="zh-CN" w:bidi="ar"/>
        </w:rPr>
        <w:t>el cerramiento del lote</w:t>
      </w:r>
      <w:r>
        <w:rPr>
          <w:rFonts w:hint="default" w:ascii="Arial Narrow" w:hAnsi="Arial Narrow" w:eastAsia="Arial Narrow" w:cs="Tahoma"/>
          <w:b/>
          <w:bCs/>
          <w:shadow/>
          <w:kern w:val="0"/>
          <w:sz w:val="20"/>
          <w:szCs w:val="20"/>
          <w:lang w:eastAsia="zh-CN" w:bidi="ar"/>
        </w:rPr>
        <w:t xml:space="preserve">, </w:t>
      </w:r>
      <w:r>
        <w:rPr>
          <w:rFonts w:hint="default" w:ascii="Arial Narrow" w:hAnsi="Arial Narrow" w:eastAsia="Arial Narrow" w:cs="Tahoma"/>
          <w:shadow/>
          <w:kern w:val="0"/>
          <w:sz w:val="20"/>
          <w:szCs w:val="20"/>
          <w:lang w:eastAsia="zh-CN" w:bidi="ar"/>
        </w:rPr>
        <w:t>dentro de los quince (15) días siguientes a la demolición total del mismo, que deberá realizarse de conformidad con el Acuerdo 958 de 2017 -POT-Anexo Normas Generales, numeral 2 del artículo 1.2.1.3.2.1, Cerramiento de lotes: a una altura mínima de 2.30 metros, ubicado en el paramento oficial y construido en materiales que garanticen seguridad y buen aspecto para la ciudad.</w:t>
      </w:r>
    </w:p>
    <w:p>
      <w:pPr>
        <w:keepNext w:val="0"/>
        <w:keepLines w:val="0"/>
        <w:widowControl/>
        <w:suppressLineNumbers w:val="0"/>
        <w:suppressAutoHyphens/>
        <w:spacing w:before="0" w:beforeAutospacing="0" w:after="0" w:afterAutospacing="0"/>
        <w:ind w:left="2100" w:right="0" w:hanging="2060"/>
        <w:jc w:val="both"/>
        <w:rPr>
          <w:rFonts w:hint="default" w:ascii="Arial Narrow" w:hAnsi="Arial Narrow" w:eastAsia="Calibri" w:cs="Tahoma"/>
          <w:shadow/>
          <w:sz w:val="20"/>
          <w:szCs w:val="20"/>
          <w:lang w:eastAsia="ar"/>
        </w:rPr>
      </w:pPr>
    </w:p>
    <w:p>
      <w:pPr>
        <w:keepNext w:val="0"/>
        <w:keepLines w:val="0"/>
        <w:widowControl/>
        <w:suppressLineNumbers w:val="0"/>
        <w:suppressAutoHyphens/>
        <w:spacing w:before="0" w:beforeAutospacing="0" w:after="0" w:afterAutospacing="0"/>
        <w:ind w:left="0" w:right="0" w:firstLine="40"/>
        <w:jc w:val="both"/>
        <w:rPr>
          <w:rFonts w:hint="default" w:ascii="Arial Narrow" w:hAnsi="Arial Narrow" w:eastAsia="Arial Narrow" w:cs="Tahoma"/>
          <w:shadow/>
          <w:sz w:val="20"/>
          <w:szCs w:val="20"/>
          <w:lang/>
        </w:rPr>
      </w:pPr>
      <w:r>
        <w:rPr>
          <w:rFonts w:hint="default" w:ascii="Arial Narrow" w:hAnsi="Arial Narrow" w:eastAsia="Calibri" w:cs="Tahoma"/>
          <w:b/>
          <w:shadow/>
          <w:kern w:val="0"/>
          <w:sz w:val="20"/>
          <w:szCs w:val="20"/>
          <w:lang w:eastAsia="ar" w:bidi="ar"/>
        </w:rPr>
        <w:t>Parágrafo:</w:t>
      </w:r>
      <w:r>
        <w:rPr>
          <w:rFonts w:hint="default" w:ascii="Arial Narrow" w:hAnsi="Arial Narrow" w:eastAsia="Calibri" w:cs="Tahoma"/>
          <w:bCs/>
          <w:shadow/>
          <w:kern w:val="0"/>
          <w:sz w:val="20"/>
          <w:szCs w:val="20"/>
          <w:lang w:eastAsia="ar" w:bidi="ar"/>
        </w:rPr>
        <w:t xml:space="preserve"> E</w:t>
      </w:r>
      <w:r>
        <w:rPr>
          <w:rFonts w:hint="default" w:ascii="Arial Narrow" w:hAnsi="Arial Narrow" w:eastAsia="Calibri" w:cs="Tahoma"/>
          <w:shadow/>
          <w:kern w:val="0"/>
          <w:sz w:val="20"/>
          <w:szCs w:val="20"/>
          <w:lang w:eastAsia="ar" w:bidi="ar"/>
        </w:rPr>
        <w:t>n caso de no cumplirse con lo ordenado</w:t>
      </w:r>
      <w:r>
        <w:rPr>
          <w:rFonts w:hint="default" w:ascii="Arial Narrow" w:hAnsi="Arial Narrow" w:eastAsia="Calibri" w:cs="Tahoma"/>
          <w:b/>
          <w:bCs w:val="0"/>
          <w:shadow/>
          <w:kern w:val="0"/>
          <w:sz w:val="20"/>
          <w:szCs w:val="20"/>
          <w:lang w:eastAsia="ar" w:bidi="ar"/>
        </w:rPr>
        <w:t xml:space="preserve">, </w:t>
      </w:r>
      <w:r>
        <w:rPr>
          <w:rFonts w:hint="default" w:ascii="Arial Narrow" w:hAnsi="Arial Narrow" w:eastAsia="Arial Narrow" w:cs="Tahoma"/>
          <w:shadow/>
          <w:kern w:val="0"/>
          <w:sz w:val="20"/>
          <w:szCs w:val="20"/>
          <w:lang w:eastAsia="zh-CN" w:bidi="ar"/>
        </w:rPr>
        <w:t xml:space="preserve">la demolición, el retiro de los escombros y el cerramiento del lote se llevará a cabo por la Administración Municipal </w:t>
      </w:r>
      <w:r>
        <w:rPr>
          <w:rFonts w:hint="default" w:ascii="Arial Narrow" w:hAnsi="Arial Narrow" w:eastAsia="Calibri" w:cs="Tahoma"/>
          <w:shadow/>
          <w:kern w:val="0"/>
          <w:sz w:val="20"/>
          <w:szCs w:val="20"/>
          <w:lang w:eastAsia="ar" w:bidi="ar"/>
        </w:rPr>
        <w:t xml:space="preserve">– </w:t>
      </w:r>
      <w:r>
        <w:rPr>
          <w:rFonts w:hint="default" w:ascii="Arial Narrow" w:hAnsi="Arial Narrow" w:eastAsia="Arial Narrow" w:cs="Tahoma"/>
          <w:shadow/>
          <w:kern w:val="0"/>
          <w:sz w:val="20"/>
          <w:szCs w:val="20"/>
          <w:lang w:eastAsia="zh-CN" w:bidi="ar"/>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p>
    <w:p>
      <w:pPr>
        <w:keepNext w:val="0"/>
        <w:keepLines w:val="0"/>
        <w:widowControl/>
        <w:suppressLineNumbers w:val="0"/>
        <w:suppressAutoHyphens/>
        <w:spacing w:before="0" w:beforeAutospacing="0" w:after="0" w:afterAutospacing="0"/>
        <w:ind w:left="0" w:right="0"/>
        <w:jc w:val="both"/>
        <w:rPr>
          <w:rFonts w:hint="default" w:ascii="Arial Narrow" w:hAnsi="Arial Narrow" w:eastAsia="Arial" w:cs="Arial"/>
          <w:shadow/>
          <w:sz w:val="20"/>
          <w:szCs w:val="20"/>
          <w:lang/>
        </w:rPr>
      </w:pPr>
      <w:r>
        <w:rPr>
          <w:rFonts w:hint="default" w:ascii="Arial Narrow" w:hAnsi="Arial Narrow" w:eastAsia="Calibri" w:cs="Tahoma"/>
          <w:b/>
          <w:shadow/>
          <w:kern w:val="0"/>
          <w:sz w:val="20"/>
          <w:szCs w:val="20"/>
          <w:lang w:eastAsia="ar" w:bidi="ar"/>
        </w:rPr>
        <w:t>Artículo 5°: NOTIFICA</w:t>
      </w:r>
      <w:r>
        <w:rPr>
          <w:rFonts w:hint="default" w:ascii="Arial Narrow" w:hAnsi="Arial Narrow" w:eastAsia="Arial" w:cs="Arial"/>
          <w:b/>
          <w:shadow/>
          <w:kern w:val="0"/>
          <w:sz w:val="20"/>
          <w:szCs w:val="20"/>
          <w:lang w:eastAsia="zh-CN" w:bidi="ar"/>
        </w:rPr>
        <w:t xml:space="preserve">R </w:t>
      </w:r>
      <w:r>
        <w:rPr>
          <w:rFonts w:hint="default" w:ascii="Arial Narrow" w:hAnsi="Arial Narrow" w:eastAsia="Arial" w:cs="Arial"/>
          <w:shadow/>
          <w:kern w:val="0"/>
          <w:sz w:val="20"/>
          <w:szCs w:val="20"/>
          <w:lang w:eastAsia="zh-CN" w:bidi="ar"/>
        </w:rPr>
        <w:t>personalmente, en los términos de los artículos 67 y siguientes del CPACA, p</w:t>
      </w:r>
      <w:r>
        <w:rPr>
          <w:rFonts w:hint="default" w:ascii="Arial Narrow" w:hAnsi="Arial Narrow" w:eastAsia="Arial Narrow" w:cs="Arial"/>
          <w:shadow/>
          <w:kern w:val="0"/>
          <w:sz w:val="20"/>
          <w:szCs w:val="20"/>
          <w:lang w:eastAsia="zh-CN" w:bidi="ar"/>
        </w:rPr>
        <w:t xml:space="preserve">or la Oficina de Control Urbano, </w:t>
      </w:r>
      <w:r>
        <w:rPr>
          <w:rFonts w:hint="default" w:ascii="Arial Narrow" w:hAnsi="Arial Narrow" w:eastAsia="Arial" w:cs="Arial"/>
          <w:shadow/>
          <w:kern w:val="0"/>
          <w:sz w:val="20"/>
          <w:szCs w:val="20"/>
          <w:lang w:eastAsia="zh-CN" w:bidi="ar"/>
        </w:rPr>
        <w:t xml:space="preserve">la presente decisión a la señora Francisca Jaramillo Pérez, </w:t>
      </w:r>
      <w:r>
        <w:rPr>
          <w:rFonts w:hint="default" w:ascii="Arial Narrow" w:hAnsi="Arial Narrow" w:eastAsia="Calibri" w:cs="Tahoma"/>
          <w:bCs/>
          <w:shadow/>
          <w:kern w:val="0"/>
          <w:sz w:val="20"/>
          <w:szCs w:val="20"/>
          <w:lang w:eastAsia="ar" w:bidi="ar"/>
        </w:rPr>
        <w:t>en su calidad de propietarios  del inmueble, y a las demás personas indeterminadas.</w:t>
      </w:r>
      <w:r>
        <w:rPr>
          <w:rFonts w:hint="default" w:ascii="Arial Narrow" w:hAnsi="Arial Narrow" w:eastAsia="Arial Narrow" w:cs="Arial Narrow"/>
          <w:shadow/>
          <w:kern w:val="0"/>
          <w:sz w:val="20"/>
          <w:szCs w:val="20"/>
          <w:lang w:eastAsia="zh-CN" w:bidi="ar"/>
        </w:rPr>
        <w:t xml:space="preserve"> </w:t>
      </w:r>
      <w:r>
        <w:rPr>
          <w:rFonts w:hint="default" w:ascii="Arial Narrow" w:hAnsi="Arial Narrow" w:eastAsia="Arial" w:cs="Arial"/>
          <w:shadow/>
          <w:kern w:val="0"/>
          <w:sz w:val="20"/>
          <w:szCs w:val="20"/>
          <w:lang w:eastAsia="zh-CN" w:bidi="ar"/>
        </w:rPr>
        <w:t xml:space="preserve">Para tal efecto, líbrese la respectiva comunicación. </w:t>
      </w: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r>
        <w:rPr>
          <w:rFonts w:hint="default" w:ascii="Arial Narrow" w:hAnsi="Arial Narrow" w:eastAsia="Calibri" w:cs="Tahoma"/>
          <w:b/>
          <w:shadow/>
          <w:kern w:val="0"/>
          <w:sz w:val="20"/>
          <w:szCs w:val="20"/>
          <w:lang w:eastAsia="ar" w:bidi="ar"/>
        </w:rPr>
        <w:t>Artículo 6°: RECURSOS.</w:t>
      </w:r>
      <w:r>
        <w:rPr>
          <w:rFonts w:hint="default" w:ascii="Arial Narrow" w:hAnsi="Arial Narrow" w:eastAsia="Calibri" w:cs="Tahoma"/>
          <w:bCs/>
          <w:shadow/>
          <w:kern w:val="0"/>
          <w:sz w:val="20"/>
          <w:szCs w:val="20"/>
          <w:lang w:eastAsia="ar" w:bidi="ar"/>
        </w:rPr>
        <w:t xml:space="preserve"> En el acto de la notificación, habrá de indicarse que contra la presente resolución procede el recurso de reposición de que trata el </w:t>
      </w:r>
      <w:r>
        <w:rPr>
          <w:rFonts w:hint="default" w:ascii="Arial Narrow" w:hAnsi="Arial Narrow" w:eastAsia="Calibri" w:cs="Tahoma"/>
          <w:shadow/>
          <w:kern w:val="0"/>
          <w:sz w:val="20"/>
          <w:szCs w:val="20"/>
          <w:lang w:eastAsia="ar" w:bidi="ar"/>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bCs/>
          <w:shadow/>
          <w:sz w:val="20"/>
          <w:szCs w:val="20"/>
          <w:lang w:eastAsia="ar"/>
        </w:rPr>
      </w:pPr>
      <w:r>
        <w:rPr>
          <w:rFonts w:hint="default" w:ascii="Arial Narrow" w:hAnsi="Arial Narrow" w:eastAsia="Calibri" w:cs="Tahoma"/>
          <w:b/>
          <w:shadow/>
          <w:kern w:val="0"/>
          <w:sz w:val="20"/>
          <w:szCs w:val="20"/>
          <w:lang w:eastAsia="ar" w:bidi="ar"/>
        </w:rPr>
        <w:t>Artículo 7°:</w:t>
      </w:r>
      <w:r>
        <w:rPr>
          <w:rFonts w:hint="default" w:ascii="Arial Narrow" w:hAnsi="Arial Narrow" w:eastAsia="Calibri" w:cs="Tahoma"/>
          <w:bCs/>
          <w:shadow/>
          <w:kern w:val="0"/>
          <w:sz w:val="20"/>
          <w:szCs w:val="20"/>
          <w:lang w:eastAsia="ar" w:bidi="ar"/>
        </w:rPr>
        <w:t xml:space="preserve"> </w:t>
      </w:r>
      <w:r>
        <w:rPr>
          <w:rFonts w:hint="default" w:ascii="Arial Narrow" w:hAnsi="Arial Narrow" w:eastAsia="Calibri" w:cs="Tahoma"/>
          <w:b/>
          <w:bCs/>
          <w:shadow/>
          <w:kern w:val="0"/>
          <w:sz w:val="20"/>
          <w:szCs w:val="20"/>
          <w:lang w:eastAsia="ar" w:bidi="ar"/>
        </w:rPr>
        <w:t xml:space="preserve">ORDENAR </w:t>
      </w:r>
      <w:r>
        <w:rPr>
          <w:rFonts w:hint="default" w:ascii="Arial Narrow" w:hAnsi="Arial Narrow" w:eastAsia="Calibri" w:cs="Tahoma"/>
          <w:bCs/>
          <w:shadow/>
          <w:kern w:val="0"/>
          <w:sz w:val="20"/>
          <w:szCs w:val="20"/>
          <w:lang w:eastAsia="ar" w:bidi="ar"/>
        </w:rPr>
        <w:t xml:space="preserve">la publicación de la parte resolutiva del presente acto en la página electrónica del Municipio de Manizales, como está dispuesto en el artículo 73 de la Ley 1437 de 2011. </w:t>
      </w: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p>
    <w:p>
      <w:pPr>
        <w:keepNext w:val="0"/>
        <w:keepLines w:val="0"/>
        <w:widowControl/>
        <w:suppressLineNumbers w:val="0"/>
        <w:suppressAutoHyphens/>
        <w:spacing w:before="0" w:beforeAutospacing="0" w:after="0" w:afterAutospacing="0"/>
        <w:ind w:left="0" w:right="0"/>
        <w:jc w:val="both"/>
        <w:rPr>
          <w:rFonts w:hint="default" w:ascii="Arial Narrow" w:hAnsi="Arial Narrow" w:eastAsia="Calibri" w:cs="Tahoma"/>
          <w:shadow/>
          <w:sz w:val="20"/>
          <w:szCs w:val="20"/>
          <w:lang w:eastAsia="ar"/>
        </w:rPr>
      </w:pPr>
    </w:p>
    <w:p>
      <w:pPr>
        <w:keepNext w:val="0"/>
        <w:keepLines w:val="0"/>
        <w:widowControl/>
        <w:suppressLineNumbers w:val="0"/>
        <w:autoSpaceDE w:val="0"/>
        <w:autoSpaceDN w:val="0"/>
        <w:adjustRightInd w:val="0"/>
        <w:spacing w:before="0" w:beforeAutospacing="0" w:after="0" w:afterAutospacing="0"/>
        <w:ind w:left="0" w:right="0"/>
        <w:jc w:val="center"/>
        <w:rPr>
          <w:rFonts w:hint="default" w:ascii="Arial Narrow" w:hAnsi="Arial Narrow" w:eastAsia="Arial Narrow" w:cs="Arial Narrow"/>
          <w:bCs/>
          <w:shadow/>
          <w:sz w:val="20"/>
          <w:szCs w:val="20"/>
          <w:lang w:val="es-CO"/>
        </w:rPr>
      </w:pPr>
      <w:r>
        <w:rPr>
          <w:rFonts w:hint="default" w:ascii="Arial Narrow" w:hAnsi="Arial Narrow" w:eastAsia="Arial Narrow" w:cs="Arial Narrow"/>
          <w:b/>
          <w:shadow/>
          <w:kern w:val="0"/>
          <w:sz w:val="20"/>
          <w:szCs w:val="20"/>
          <w:lang w:eastAsia="zh-CN" w:bidi="ar"/>
        </w:rPr>
        <w:t>PUBLÍQUESE, NOTIFÍQUESE, Y CÚM</w:t>
      </w:r>
      <w:r>
        <w:rPr>
          <w:rFonts w:hint="default" w:ascii="Arial Narrow" w:hAnsi="Arial Narrow" w:eastAsia="Arial Narrow" w:cs="Arial Narrow"/>
          <w:b/>
          <w:shadow/>
          <w:kern w:val="0"/>
          <w:sz w:val="20"/>
          <w:szCs w:val="20"/>
          <w:lang w:val="es-CO" w:eastAsia="zh-CN" w:bidi="ar"/>
        </w:rPr>
        <w:t>PLASE</w:t>
      </w:r>
      <w:bookmarkStart w:id="0" w:name="_GoBack"/>
      <w:bookmarkEnd w:id="0"/>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20"/>
          <w:szCs w:val="20"/>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20"/>
          <w:szCs w:val="20"/>
          <w:lang/>
        </w:rPr>
      </w:pPr>
    </w:p>
    <w:p>
      <w:pPr>
        <w:keepNext w:val="0"/>
        <w:keepLines w:val="0"/>
        <w:widowControl/>
        <w:suppressLineNumbers w:val="0"/>
        <w:autoSpaceDE w:val="0"/>
        <w:autoSpaceDN w:val="0"/>
        <w:adjustRightInd w:val="0"/>
        <w:spacing w:before="0" w:beforeAutospacing="0" w:after="0" w:afterAutospacing="0"/>
        <w:ind w:left="0" w:right="0"/>
        <w:jc w:val="center"/>
        <w:rPr>
          <w:rFonts w:hint="default" w:ascii="Arial Narrow" w:hAnsi="Arial Narrow" w:eastAsia="Arial Narrow" w:cs="Arial"/>
          <w:bCs/>
          <w:shadow/>
          <w:sz w:val="20"/>
          <w:szCs w:val="20"/>
          <w:lang/>
        </w:rPr>
      </w:pPr>
      <w:r>
        <w:rPr>
          <w:rFonts w:hint="default" w:ascii="Arial Narrow" w:hAnsi="Arial Narrow" w:eastAsia="Arial Narrow" w:cs="Arial"/>
          <w:bCs/>
          <w:shadow/>
          <w:kern w:val="0"/>
          <w:sz w:val="20"/>
          <w:szCs w:val="20"/>
          <w:lang w:eastAsia="zh-CN" w:bidi="ar"/>
        </w:rPr>
        <w:t>JOSÉ OCTAVIO CARDONA LEÓN</w:t>
      </w:r>
    </w:p>
    <w:p>
      <w:pPr>
        <w:keepNext w:val="0"/>
        <w:keepLines w:val="0"/>
        <w:widowControl/>
        <w:suppressLineNumbers w:val="0"/>
        <w:autoSpaceDE w:val="0"/>
        <w:autoSpaceDN w:val="0"/>
        <w:adjustRightInd w:val="0"/>
        <w:spacing w:before="0" w:beforeAutospacing="0" w:after="0" w:afterAutospacing="0"/>
        <w:ind w:left="0" w:right="0"/>
        <w:jc w:val="center"/>
        <w:rPr>
          <w:rFonts w:hint="default" w:ascii="Arial Narrow" w:hAnsi="Arial Narrow" w:eastAsia="Arial Narrow" w:cs="Arial Narrow"/>
          <w:bCs/>
          <w:shadow/>
          <w:sz w:val="20"/>
          <w:szCs w:val="20"/>
          <w:lang/>
        </w:rPr>
      </w:pPr>
      <w:r>
        <w:rPr>
          <w:rFonts w:hint="default" w:ascii="Arial Narrow" w:hAnsi="Arial Narrow" w:eastAsia="Arial Narrow" w:cs="Arial Narrow"/>
          <w:bCs/>
          <w:shadow/>
          <w:kern w:val="0"/>
          <w:sz w:val="20"/>
          <w:szCs w:val="20"/>
          <w:lang w:eastAsia="zh-CN" w:bidi="ar"/>
        </w:rPr>
        <w:t>Alcalde</w:t>
      </w: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20"/>
          <w:szCs w:val="20"/>
          <w:lang/>
        </w:rPr>
      </w:pPr>
    </w:p>
    <w:p>
      <w:pPr>
        <w:keepNext w:val="0"/>
        <w:keepLines w:val="0"/>
        <w:widowControl/>
        <w:suppressLineNumbers w:val="0"/>
        <w:autoSpaceDE w:val="0"/>
        <w:autoSpaceDN w:val="0"/>
        <w:adjustRightInd w:val="0"/>
        <w:spacing w:before="0" w:beforeAutospacing="0" w:after="0" w:afterAutospacing="0"/>
        <w:ind w:left="0" w:right="0"/>
        <w:jc w:val="center"/>
        <w:rPr>
          <w:rFonts w:hint="default" w:ascii="Arial Narrow" w:hAnsi="Arial Narrow" w:eastAsia="Arial Narrow" w:cs="Arial Narrow"/>
          <w:bCs/>
          <w:shadow/>
          <w:sz w:val="20"/>
          <w:szCs w:val="20"/>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20"/>
          <w:szCs w:val="20"/>
          <w:lang/>
        </w:rPr>
      </w:pPr>
      <w:r>
        <w:rPr>
          <w:rFonts w:hint="default" w:ascii="Arial Narrow" w:hAnsi="Arial Narrow" w:eastAsia="Arial Narrow" w:cs="Arial Narrow"/>
          <w:bCs/>
          <w:shadow/>
          <w:kern w:val="0"/>
          <w:sz w:val="20"/>
          <w:szCs w:val="20"/>
          <w:lang w:eastAsia="zh-CN" w:bidi="ar"/>
        </w:rPr>
        <w:t>EL PROFESIONAL UNIVERSITARIO DE LA OFICINA DE GESTIÓN URBANÍSTICA</w:t>
      </w: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20"/>
          <w:szCs w:val="20"/>
          <w:lang/>
        </w:rPr>
      </w:pPr>
    </w:p>
    <w:p>
      <w:pPr>
        <w:keepNext w:val="0"/>
        <w:keepLines w:val="0"/>
        <w:widowControl/>
        <w:suppressLineNumbers w:val="0"/>
        <w:autoSpaceDE w:val="0"/>
        <w:autoSpaceDN w:val="0"/>
        <w:adjustRightInd w:val="0"/>
        <w:spacing w:before="0" w:beforeAutospacing="0" w:after="0" w:afterAutospacing="0"/>
        <w:ind w:left="0" w:right="0"/>
        <w:jc w:val="right"/>
        <w:rPr>
          <w:rFonts w:hint="default" w:ascii="Arial Narrow" w:hAnsi="Arial Narrow" w:eastAsia="Arial Narrow" w:cs="Arial Narrow"/>
          <w:bCs/>
          <w:shadow/>
          <w:sz w:val="20"/>
          <w:szCs w:val="20"/>
          <w:lang/>
        </w:rPr>
      </w:pPr>
      <w:r>
        <w:rPr>
          <w:rFonts w:hint="default" w:ascii="Arial Narrow" w:hAnsi="Arial Narrow" w:eastAsia="Arial Narrow" w:cs="Arial Narrow"/>
          <w:bCs/>
          <w:shadow/>
          <w:kern w:val="0"/>
          <w:sz w:val="20"/>
          <w:szCs w:val="20"/>
          <w:lang w:eastAsia="zh-CN" w:bidi="ar"/>
        </w:rPr>
        <w:t xml:space="preserve">         JUAN DAVID AGUDELO GIL</w:t>
      </w: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20"/>
          <w:szCs w:val="20"/>
          <w:lang/>
        </w:rPr>
      </w:pPr>
      <w:r>
        <w:rPr>
          <w:rFonts w:hint="default" w:ascii="Arial Narrow" w:hAnsi="Arial Narrow" w:eastAsia="Arial Narrow" w:cs="Arial Narrow"/>
          <w:bCs/>
          <w:shadow/>
          <w:kern w:val="0"/>
          <w:sz w:val="20"/>
          <w:szCs w:val="20"/>
          <w:lang w:eastAsia="zh-CN" w:bidi="ar"/>
        </w:rPr>
        <w:t xml:space="preserve"> </w:t>
      </w: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20"/>
          <w:szCs w:val="20"/>
          <w:lang/>
        </w:rPr>
      </w:pPr>
      <w:r>
        <w:rPr>
          <w:rFonts w:hint="default" w:ascii="Arial Narrow" w:hAnsi="Arial Narrow" w:eastAsia="Arial Narrow" w:cs="Arial Narrow"/>
          <w:bCs/>
          <w:shadow/>
          <w:kern w:val="0"/>
          <w:sz w:val="20"/>
          <w:szCs w:val="20"/>
          <w:lang w:eastAsia="zh-CN" w:bidi="ar"/>
        </w:rPr>
        <w:t>V. B. LA  SECRETARIA DE DESPACHO, SECRETARIA JURIDICA</w:t>
      </w:r>
    </w:p>
    <w:p>
      <w:pPr>
        <w:keepNext w:val="0"/>
        <w:keepLines w:val="0"/>
        <w:widowControl/>
        <w:suppressLineNumbers w:val="0"/>
        <w:autoSpaceDE w:val="0"/>
        <w:autoSpaceDN w:val="0"/>
        <w:adjustRightInd w:val="0"/>
        <w:spacing w:before="0" w:beforeAutospacing="0" w:after="0" w:afterAutospacing="0"/>
        <w:ind w:left="0" w:right="0"/>
        <w:jc w:val="right"/>
        <w:rPr>
          <w:rFonts w:hint="default" w:ascii="Arial Narrow" w:hAnsi="Arial Narrow" w:eastAsia="Arial Narrow" w:cs="Arial Narrow"/>
          <w:bCs/>
          <w:shadow/>
          <w:sz w:val="20"/>
          <w:szCs w:val="20"/>
          <w:lang w:val="es-CO"/>
        </w:rPr>
      </w:pPr>
      <w:r>
        <w:rPr>
          <w:rFonts w:hint="default" w:ascii="Arial Narrow" w:hAnsi="Arial Narrow" w:eastAsia="Arial Narrow" w:cs="Arial Narrow"/>
          <w:bCs/>
          <w:shadow/>
          <w:kern w:val="0"/>
          <w:sz w:val="20"/>
          <w:szCs w:val="20"/>
          <w:lang w:eastAsia="zh-CN" w:bidi="ar"/>
        </w:rPr>
        <w:t>PAULA ANDREA LÓPEZ ALVARA</w:t>
      </w:r>
      <w:r>
        <w:rPr>
          <w:rFonts w:hint="default" w:ascii="Arial Narrow" w:hAnsi="Arial Narrow" w:eastAsia="Arial Narrow" w:cs="Arial Narrow"/>
          <w:bCs/>
          <w:shadow/>
          <w:kern w:val="0"/>
          <w:sz w:val="20"/>
          <w:szCs w:val="20"/>
          <w:lang w:val="es-CO" w:eastAsia="zh-CN" w:bidi="ar"/>
        </w:rPr>
        <w:t>N</w:t>
      </w: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18"/>
          <w:szCs w:val="18"/>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18"/>
          <w:szCs w:val="18"/>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18"/>
          <w:szCs w:val="18"/>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18"/>
          <w:szCs w:val="18"/>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18"/>
          <w:szCs w:val="18"/>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18"/>
          <w:szCs w:val="18"/>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18"/>
          <w:szCs w:val="18"/>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18"/>
          <w:szCs w:val="18"/>
          <w:lang/>
        </w:rPr>
      </w:pPr>
    </w:p>
    <w:p>
      <w:pPr>
        <w:keepNext w:val="0"/>
        <w:keepLines w:val="0"/>
        <w:widowControl/>
        <w:suppressLineNumbers w:val="0"/>
        <w:autoSpaceDE w:val="0"/>
        <w:autoSpaceDN w:val="0"/>
        <w:adjustRightInd w:val="0"/>
        <w:spacing w:before="0" w:beforeAutospacing="0" w:after="0" w:afterAutospacing="0"/>
        <w:ind w:left="0" w:right="0"/>
        <w:jc w:val="both"/>
        <w:rPr>
          <w:rFonts w:hint="default" w:ascii="Arial Narrow" w:hAnsi="Arial Narrow" w:eastAsia="Arial Narrow" w:cs="Arial Narrow"/>
          <w:bCs/>
          <w:shadow/>
          <w:sz w:val="18"/>
          <w:szCs w:val="18"/>
          <w:lang/>
        </w:rPr>
      </w:pPr>
    </w:p>
    <w:p>
      <w:pPr>
        <w:jc w:val="both"/>
        <w:rPr>
          <w:b/>
          <w:bCs/>
          <w:lang w:val="es-ES"/>
        </w:rPr>
      </w:pP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08"/>
  <w:hyphenationZone w:val="425"/>
  <w:drawingGridHorizontalSpacing w:val="1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5E21"/>
    <w:rsid w:val="00020433"/>
    <w:rsid w:val="0002467D"/>
    <w:rsid w:val="00027A13"/>
    <w:rsid w:val="000340AC"/>
    <w:rsid w:val="00040971"/>
    <w:rsid w:val="0006032A"/>
    <w:rsid w:val="00075D0F"/>
    <w:rsid w:val="00084F4F"/>
    <w:rsid w:val="000F4BAD"/>
    <w:rsid w:val="00131DBA"/>
    <w:rsid w:val="001453F6"/>
    <w:rsid w:val="00160451"/>
    <w:rsid w:val="00163176"/>
    <w:rsid w:val="001D07FE"/>
    <w:rsid w:val="001F02BE"/>
    <w:rsid w:val="0022651B"/>
    <w:rsid w:val="00247896"/>
    <w:rsid w:val="00274203"/>
    <w:rsid w:val="002832A7"/>
    <w:rsid w:val="002C59DB"/>
    <w:rsid w:val="002F6CFB"/>
    <w:rsid w:val="00343BBA"/>
    <w:rsid w:val="00352318"/>
    <w:rsid w:val="003A75DD"/>
    <w:rsid w:val="00422CAB"/>
    <w:rsid w:val="0045459E"/>
    <w:rsid w:val="00470275"/>
    <w:rsid w:val="004D776C"/>
    <w:rsid w:val="004E6A9C"/>
    <w:rsid w:val="0053718F"/>
    <w:rsid w:val="005639F5"/>
    <w:rsid w:val="005D2787"/>
    <w:rsid w:val="005F2D6E"/>
    <w:rsid w:val="00635EE9"/>
    <w:rsid w:val="00651346"/>
    <w:rsid w:val="00655050"/>
    <w:rsid w:val="00667471"/>
    <w:rsid w:val="006800C3"/>
    <w:rsid w:val="00693BEC"/>
    <w:rsid w:val="006A65BA"/>
    <w:rsid w:val="006E15A4"/>
    <w:rsid w:val="006E4EE2"/>
    <w:rsid w:val="006F4AA7"/>
    <w:rsid w:val="00700578"/>
    <w:rsid w:val="00702218"/>
    <w:rsid w:val="00723A79"/>
    <w:rsid w:val="007762E1"/>
    <w:rsid w:val="007A0D17"/>
    <w:rsid w:val="007A1972"/>
    <w:rsid w:val="00821DF9"/>
    <w:rsid w:val="00822716"/>
    <w:rsid w:val="00830CB9"/>
    <w:rsid w:val="008507DF"/>
    <w:rsid w:val="0086717F"/>
    <w:rsid w:val="00880996"/>
    <w:rsid w:val="008C16D5"/>
    <w:rsid w:val="008D4D3E"/>
    <w:rsid w:val="008E0C28"/>
    <w:rsid w:val="008E6BE3"/>
    <w:rsid w:val="009A2DE6"/>
    <w:rsid w:val="009A3C2B"/>
    <w:rsid w:val="009C4065"/>
    <w:rsid w:val="009D7ED6"/>
    <w:rsid w:val="00A15E2B"/>
    <w:rsid w:val="00A442C3"/>
    <w:rsid w:val="00A53F90"/>
    <w:rsid w:val="00B66584"/>
    <w:rsid w:val="00BB1515"/>
    <w:rsid w:val="00BD144C"/>
    <w:rsid w:val="00BD7002"/>
    <w:rsid w:val="00C24322"/>
    <w:rsid w:val="00C34F72"/>
    <w:rsid w:val="00C6120D"/>
    <w:rsid w:val="00CA604E"/>
    <w:rsid w:val="00CD40E9"/>
    <w:rsid w:val="00D15373"/>
    <w:rsid w:val="00D158B3"/>
    <w:rsid w:val="00D160D0"/>
    <w:rsid w:val="00D1695F"/>
    <w:rsid w:val="00D225E5"/>
    <w:rsid w:val="00D53A64"/>
    <w:rsid w:val="00DC0523"/>
    <w:rsid w:val="00DE08BC"/>
    <w:rsid w:val="00E20189"/>
    <w:rsid w:val="00E3105D"/>
    <w:rsid w:val="00E37BBA"/>
    <w:rsid w:val="00E45E0A"/>
    <w:rsid w:val="00E50334"/>
    <w:rsid w:val="00E71B43"/>
    <w:rsid w:val="00E82E29"/>
    <w:rsid w:val="00EC6C6A"/>
    <w:rsid w:val="00EE0F74"/>
    <w:rsid w:val="00EF26FC"/>
    <w:rsid w:val="00F11290"/>
    <w:rsid w:val="00F23404"/>
    <w:rsid w:val="00F3711B"/>
    <w:rsid w:val="00F40EE6"/>
    <w:rsid w:val="00FB7E2D"/>
    <w:rsid w:val="00FD00A5"/>
    <w:rsid w:val="00FD2876"/>
    <w:rsid w:val="01F509C6"/>
    <w:rsid w:val="03B43FA9"/>
    <w:rsid w:val="05BC53F4"/>
    <w:rsid w:val="061C1B0C"/>
    <w:rsid w:val="06315217"/>
    <w:rsid w:val="067D54AA"/>
    <w:rsid w:val="080B4DAE"/>
    <w:rsid w:val="0A4D4579"/>
    <w:rsid w:val="0C3F4176"/>
    <w:rsid w:val="0D4256B0"/>
    <w:rsid w:val="0E1E3623"/>
    <w:rsid w:val="10227D09"/>
    <w:rsid w:val="10A04E6A"/>
    <w:rsid w:val="10EF7CE4"/>
    <w:rsid w:val="10F96391"/>
    <w:rsid w:val="117B0C6B"/>
    <w:rsid w:val="12A55642"/>
    <w:rsid w:val="145573D2"/>
    <w:rsid w:val="146E6D4A"/>
    <w:rsid w:val="18617FCF"/>
    <w:rsid w:val="19B52E92"/>
    <w:rsid w:val="1B0A1B70"/>
    <w:rsid w:val="1CCF73D8"/>
    <w:rsid w:val="1D295B5F"/>
    <w:rsid w:val="1F1E0835"/>
    <w:rsid w:val="1F431EC6"/>
    <w:rsid w:val="1F884F07"/>
    <w:rsid w:val="20072BD7"/>
    <w:rsid w:val="204C2587"/>
    <w:rsid w:val="24C17485"/>
    <w:rsid w:val="27812722"/>
    <w:rsid w:val="2ACF2DAA"/>
    <w:rsid w:val="2BB85011"/>
    <w:rsid w:val="2C622C02"/>
    <w:rsid w:val="2E4F2AA9"/>
    <w:rsid w:val="2F464138"/>
    <w:rsid w:val="2F90405D"/>
    <w:rsid w:val="30E900AC"/>
    <w:rsid w:val="32341481"/>
    <w:rsid w:val="33CA5D03"/>
    <w:rsid w:val="34FF6EE9"/>
    <w:rsid w:val="354A34A9"/>
    <w:rsid w:val="382E775B"/>
    <w:rsid w:val="38651279"/>
    <w:rsid w:val="39982D19"/>
    <w:rsid w:val="39E00A3F"/>
    <w:rsid w:val="3A665A45"/>
    <w:rsid w:val="3BC74043"/>
    <w:rsid w:val="3E4E2DDA"/>
    <w:rsid w:val="3E990E2A"/>
    <w:rsid w:val="415564D6"/>
    <w:rsid w:val="42562F07"/>
    <w:rsid w:val="43C41D3C"/>
    <w:rsid w:val="44577D26"/>
    <w:rsid w:val="461F49CD"/>
    <w:rsid w:val="46490B7D"/>
    <w:rsid w:val="48652827"/>
    <w:rsid w:val="498E1B79"/>
    <w:rsid w:val="4D2F30C7"/>
    <w:rsid w:val="4DD8024A"/>
    <w:rsid w:val="4E2F1B20"/>
    <w:rsid w:val="51E079C8"/>
    <w:rsid w:val="52E70725"/>
    <w:rsid w:val="55E46B15"/>
    <w:rsid w:val="5B2602E5"/>
    <w:rsid w:val="5BB87CFF"/>
    <w:rsid w:val="5E540409"/>
    <w:rsid w:val="5EC06447"/>
    <w:rsid w:val="5FA945D2"/>
    <w:rsid w:val="61633D6C"/>
    <w:rsid w:val="62073460"/>
    <w:rsid w:val="69115004"/>
    <w:rsid w:val="69FD3D3F"/>
    <w:rsid w:val="6A1C7F29"/>
    <w:rsid w:val="6A6F69AF"/>
    <w:rsid w:val="6A7E298B"/>
    <w:rsid w:val="6C995D34"/>
    <w:rsid w:val="6CD1074B"/>
    <w:rsid w:val="6CEC54CC"/>
    <w:rsid w:val="6E7D6DDE"/>
    <w:rsid w:val="6EAD6F22"/>
    <w:rsid w:val="70FC39DB"/>
    <w:rsid w:val="71760AAB"/>
    <w:rsid w:val="727D61E0"/>
    <w:rsid w:val="73AD5CE5"/>
    <w:rsid w:val="77991698"/>
    <w:rsid w:val="78646625"/>
    <w:rsid w:val="7B3C6020"/>
    <w:rsid w:val="7BA01BA0"/>
    <w:rsid w:val="7BE458FD"/>
    <w:rsid w:val="7E5451C4"/>
    <w:rsid w:val="7E615E0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4"/>
      <w:szCs w:val="24"/>
      <w:lang w:val="es-CO"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pPr>
  </w:style>
  <w:style w:type="paragraph" w:styleId="3">
    <w:name w:val="header"/>
    <w:basedOn w:val="1"/>
    <w:link w:val="6"/>
    <w:unhideWhenUsed/>
    <w:qFormat/>
    <w:uiPriority w:val="99"/>
    <w:pPr>
      <w:tabs>
        <w:tab w:val="center" w:pos="4252"/>
        <w:tab w:val="right" w:pos="8504"/>
      </w:tabs>
    </w:pPr>
  </w:style>
  <w:style w:type="character" w:customStyle="1" w:styleId="6">
    <w:name w:val="Encabezado Car"/>
    <w:basedOn w:val="4"/>
    <w:link w:val="3"/>
    <w:qFormat/>
    <w:uiPriority w:val="99"/>
  </w:style>
  <w:style w:type="character" w:customStyle="1" w:styleId="7">
    <w:name w:val="Pie de página Car"/>
    <w:basedOn w:val="4"/>
    <w:link w:val="2"/>
    <w:qFormat/>
    <w:uiPriority w:val="99"/>
  </w:style>
  <w:style w:type="table" w:customStyle="1" w:styleId="8">
    <w:name w:val="Tabla normal"/>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191</Words>
  <Characters>1056</Characters>
  <Lines>8</Lines>
  <Paragraphs>2</Paragraphs>
  <TotalTime>27</TotalTime>
  <ScaleCrop>false</ScaleCrop>
  <LinksUpToDate>false</LinksUpToDate>
  <CharactersWithSpaces>1245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JVASQUEB</cp:lastModifiedBy>
  <cp:lastPrinted>2019-09-10T21:15:00Z</cp:lastPrinted>
  <dcterms:modified xsi:type="dcterms:W3CDTF">2019-10-31T14:42:21Z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